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9B" w:rsidRPr="0083129B" w:rsidRDefault="003E607E" w:rsidP="0083129B">
      <w:pPr>
        <w:shd w:val="clear" w:color="auto" w:fill="FFFFFF"/>
        <w:spacing w:before="100" w:beforeAutospacing="1" w:after="100" w:afterAutospacing="1" w:line="312" w:lineRule="atLeast"/>
        <w:rPr>
          <w:rFonts w:eastAsia="Times New Roman"/>
          <w:szCs w:val="24"/>
          <w:lang w:eastAsia="en-CA"/>
        </w:rPr>
      </w:pPr>
      <w:r>
        <w:rPr>
          <w:rFonts w:eastAsia="Times New Roman"/>
          <w:szCs w:val="24"/>
          <w:lang w:eastAsia="en-CA"/>
        </w:rPr>
        <w:t>June 3</w:t>
      </w:r>
      <w:r w:rsidR="00826C58">
        <w:rPr>
          <w:rFonts w:eastAsia="Times New Roman"/>
          <w:szCs w:val="24"/>
          <w:lang w:eastAsia="en-CA"/>
        </w:rPr>
        <w:t>, 2014</w:t>
      </w:r>
    </w:p>
    <w:p w:rsidR="0083129B" w:rsidRPr="0083129B" w:rsidRDefault="00A37F79" w:rsidP="0083129B">
      <w:pPr>
        <w:shd w:val="clear" w:color="auto" w:fill="FFFFFF"/>
        <w:spacing w:before="100" w:beforeAutospacing="1" w:after="100" w:afterAutospacing="1" w:line="312" w:lineRule="atLeast"/>
        <w:rPr>
          <w:rFonts w:eastAsia="Times New Roman"/>
          <w:szCs w:val="24"/>
          <w:lang w:eastAsia="en-CA"/>
        </w:rPr>
      </w:pPr>
      <w:r>
        <w:rPr>
          <w:rFonts w:eastAsia="Times New Roman"/>
          <w:szCs w:val="24"/>
          <w:lang w:eastAsia="en-CA"/>
        </w:rPr>
        <w:t>D</w:t>
      </w:r>
      <w:r w:rsidR="0083129B" w:rsidRPr="0083129B">
        <w:rPr>
          <w:rFonts w:eastAsia="Times New Roman"/>
          <w:szCs w:val="24"/>
          <w:lang w:eastAsia="en-CA"/>
        </w:rPr>
        <w:t>ear</w:t>
      </w:r>
      <w:r w:rsidR="0031609E">
        <w:rPr>
          <w:rFonts w:eastAsia="Times New Roman"/>
          <w:szCs w:val="24"/>
          <w:lang w:eastAsia="en-CA"/>
        </w:rPr>
        <w:t xml:space="preserve"> Editor</w:t>
      </w:r>
      <w:r>
        <w:rPr>
          <w:rFonts w:eastAsia="Times New Roman"/>
          <w:szCs w:val="24"/>
          <w:lang w:eastAsia="en-CA"/>
        </w:rPr>
        <w:t>,</w:t>
      </w:r>
    </w:p>
    <w:p w:rsidR="0083129B" w:rsidRDefault="003E607E" w:rsidP="00957EE7">
      <w:pPr>
        <w:widowControl w:val="0"/>
        <w:jc w:val="both"/>
        <w:rPr>
          <w:rFonts w:eastAsia="Times New Roman"/>
          <w:i/>
          <w:szCs w:val="24"/>
          <w:lang w:val="en-US"/>
        </w:rPr>
      </w:pPr>
      <w:r>
        <w:rPr>
          <w:rFonts w:eastAsia="Times New Roman"/>
          <w:szCs w:val="24"/>
          <w:lang w:eastAsia="en-CA"/>
        </w:rPr>
        <w:t xml:space="preserve">Please find attached a revised </w:t>
      </w:r>
      <w:r w:rsidR="0083129B" w:rsidRPr="0083129B">
        <w:rPr>
          <w:rFonts w:eastAsia="Times New Roman"/>
          <w:szCs w:val="24"/>
          <w:lang w:eastAsia="en-CA"/>
        </w:rPr>
        <w:t xml:space="preserve">electronic copy of the </w:t>
      </w:r>
      <w:r w:rsidR="00957EE7">
        <w:rPr>
          <w:rFonts w:eastAsia="Times New Roman"/>
          <w:szCs w:val="24"/>
          <w:lang w:eastAsia="en-CA"/>
        </w:rPr>
        <w:t>manuscript “</w:t>
      </w:r>
      <w:r w:rsidR="00957EE7">
        <w:t>Activity preferences and demographic f</w:t>
      </w:r>
      <w:r w:rsidR="00957EE7" w:rsidRPr="006D293A">
        <w:t>actors associated with screen time sedentary behaviour among grade 1 to 4 students</w:t>
      </w:r>
      <w:r w:rsidR="00957EE7">
        <w:t xml:space="preserve">: An examination of </w:t>
      </w:r>
      <w:r w:rsidR="00957EE7" w:rsidRPr="006D293A">
        <w:t xml:space="preserve">Play-On study </w:t>
      </w:r>
      <w:r w:rsidR="00957EE7">
        <w:t xml:space="preserve">data.” </w:t>
      </w:r>
      <w:r w:rsidR="0083129B" w:rsidRPr="0083129B">
        <w:rPr>
          <w:rFonts w:eastAsia="Times New Roman"/>
          <w:bCs/>
          <w:szCs w:val="24"/>
          <w:lang w:val="en-US" w:eastAsia="en-CA"/>
        </w:rPr>
        <w:t>The authors of the manuscript are</w:t>
      </w:r>
      <w:r w:rsidR="0031609E">
        <w:rPr>
          <w:rFonts w:eastAsia="Times New Roman"/>
          <w:bCs/>
          <w:szCs w:val="24"/>
          <w:lang w:val="en-US" w:eastAsia="en-CA"/>
        </w:rPr>
        <w:t xml:space="preserve"> Rebecca Bassett-Gunter</w:t>
      </w:r>
      <w:r w:rsidR="00B12A4E">
        <w:rPr>
          <w:rFonts w:eastAsia="Times New Roman"/>
          <w:bCs/>
          <w:szCs w:val="24"/>
          <w:lang w:val="en-US" w:eastAsia="en-CA"/>
        </w:rPr>
        <w:t xml:space="preserve"> </w:t>
      </w:r>
      <w:r w:rsidR="0031609E">
        <w:rPr>
          <w:rFonts w:eastAsia="Times New Roman"/>
          <w:bCs/>
          <w:szCs w:val="24"/>
          <w:lang w:val="en-US" w:eastAsia="en-CA"/>
        </w:rPr>
        <w:t>(</w:t>
      </w:r>
      <w:r w:rsidR="00826C58">
        <w:rPr>
          <w:rFonts w:eastAsia="Times New Roman"/>
          <w:bCs/>
          <w:szCs w:val="24"/>
          <w:lang w:val="en-US" w:eastAsia="en-CA"/>
        </w:rPr>
        <w:t>York University</w:t>
      </w:r>
      <w:r w:rsidR="0031609E">
        <w:rPr>
          <w:rFonts w:eastAsia="Times New Roman"/>
          <w:bCs/>
          <w:szCs w:val="24"/>
          <w:lang w:val="en-US" w:eastAsia="en-CA"/>
        </w:rPr>
        <w:t xml:space="preserve">) </w:t>
      </w:r>
      <w:r w:rsidR="00EE1108">
        <w:rPr>
          <w:rFonts w:eastAsia="Times New Roman"/>
          <w:bCs/>
          <w:szCs w:val="24"/>
          <w:lang w:val="en-US" w:eastAsia="en-CA"/>
        </w:rPr>
        <w:t xml:space="preserve">and </w:t>
      </w:r>
      <w:r w:rsidR="0031609E">
        <w:rPr>
          <w:rFonts w:eastAsia="Times New Roman"/>
          <w:bCs/>
          <w:szCs w:val="24"/>
          <w:lang w:val="en-US" w:eastAsia="en-CA"/>
        </w:rPr>
        <w:t xml:space="preserve">Scott </w:t>
      </w:r>
      <w:proofErr w:type="spellStart"/>
      <w:r w:rsidR="0031609E">
        <w:rPr>
          <w:rFonts w:eastAsia="Times New Roman"/>
          <w:bCs/>
          <w:szCs w:val="24"/>
          <w:lang w:val="en-US" w:eastAsia="en-CA"/>
        </w:rPr>
        <w:t>Leatherdale</w:t>
      </w:r>
      <w:proofErr w:type="spellEnd"/>
      <w:r w:rsidR="0031609E">
        <w:rPr>
          <w:rFonts w:eastAsia="Times New Roman"/>
          <w:bCs/>
          <w:szCs w:val="24"/>
          <w:lang w:val="en-US" w:eastAsia="en-CA"/>
        </w:rPr>
        <w:t xml:space="preserve"> </w:t>
      </w:r>
      <w:r w:rsidR="0083129B" w:rsidRPr="0083129B">
        <w:rPr>
          <w:rFonts w:eastAsia="Times New Roman"/>
          <w:bCs/>
          <w:szCs w:val="24"/>
          <w:lang w:val="en-US" w:eastAsia="en-CA"/>
        </w:rPr>
        <w:t>(University</w:t>
      </w:r>
      <w:r w:rsidR="0031609E">
        <w:rPr>
          <w:rFonts w:eastAsia="Times New Roman"/>
          <w:bCs/>
          <w:szCs w:val="24"/>
          <w:lang w:val="en-US" w:eastAsia="en-CA"/>
        </w:rPr>
        <w:t xml:space="preserve"> of Waterloo</w:t>
      </w:r>
      <w:r>
        <w:rPr>
          <w:rFonts w:eastAsia="Times New Roman"/>
          <w:bCs/>
          <w:szCs w:val="24"/>
          <w:lang w:val="en-US" w:eastAsia="en-CA"/>
        </w:rPr>
        <w:t>). We have addressed the reviewers’ comments (see below) and we look forward to our manuscript</w:t>
      </w:r>
      <w:r w:rsidR="0083129B" w:rsidRPr="0083129B">
        <w:rPr>
          <w:rFonts w:eastAsia="Times New Roman"/>
          <w:szCs w:val="24"/>
          <w:lang w:val="en-US"/>
        </w:rPr>
        <w:t xml:space="preserve"> publication in</w:t>
      </w:r>
      <w:r w:rsidR="0031609E">
        <w:rPr>
          <w:rFonts w:eastAsia="Times New Roman"/>
          <w:szCs w:val="24"/>
          <w:lang w:val="en-US"/>
        </w:rPr>
        <w:t xml:space="preserve"> </w:t>
      </w:r>
      <w:r w:rsidR="00957EE7">
        <w:rPr>
          <w:rFonts w:eastAsia="Times New Roman"/>
          <w:i/>
          <w:szCs w:val="24"/>
          <w:lang w:val="en-US"/>
        </w:rPr>
        <w:t>The</w:t>
      </w:r>
      <w:r w:rsidR="00826C58">
        <w:rPr>
          <w:rFonts w:eastAsia="Times New Roman"/>
          <w:i/>
          <w:szCs w:val="24"/>
          <w:lang w:val="en-US"/>
        </w:rPr>
        <w:t xml:space="preserve"> Health and Fitness Journal of Canada</w:t>
      </w:r>
      <w:r w:rsidR="0083129B" w:rsidRPr="0083129B">
        <w:rPr>
          <w:rFonts w:eastAsia="Times New Roman"/>
          <w:i/>
          <w:szCs w:val="24"/>
          <w:lang w:val="en-US"/>
        </w:rPr>
        <w:t>.</w:t>
      </w:r>
    </w:p>
    <w:p w:rsidR="002C7102" w:rsidRDefault="00B12A4E" w:rsidP="003E607E">
      <w:pPr>
        <w:spacing w:after="0" w:line="240" w:lineRule="auto"/>
        <w:rPr>
          <w:rFonts w:eastAsia="Times New Roman"/>
          <w:szCs w:val="24"/>
          <w:lang w:val="en-US"/>
        </w:rPr>
      </w:pPr>
      <w:r>
        <w:rPr>
          <w:rFonts w:eastAsia="Times New Roman"/>
          <w:szCs w:val="24"/>
          <w:lang w:val="en-US"/>
        </w:rPr>
        <w:t>Should you have any questions or comments, please do not hesitate to contact the corresponding author.</w:t>
      </w:r>
      <w:r w:rsidR="003E607E">
        <w:rPr>
          <w:rFonts w:eastAsia="Times New Roman"/>
          <w:szCs w:val="24"/>
          <w:lang w:val="en-US"/>
        </w:rPr>
        <w:t xml:space="preserve"> Our responses to the reviewers’ comments follow this letter.</w:t>
      </w:r>
      <w:r>
        <w:rPr>
          <w:rFonts w:eastAsia="Times New Roman"/>
          <w:szCs w:val="24"/>
          <w:lang w:val="en-US"/>
        </w:rPr>
        <w:t xml:space="preserve"> </w:t>
      </w:r>
    </w:p>
    <w:p w:rsidR="002C7102" w:rsidRDefault="002C7102" w:rsidP="000B2A06">
      <w:pPr>
        <w:spacing w:after="0" w:line="240" w:lineRule="auto"/>
        <w:ind w:firstLine="720"/>
        <w:rPr>
          <w:rFonts w:eastAsia="Times New Roman"/>
          <w:szCs w:val="24"/>
          <w:lang w:val="en-US"/>
        </w:rPr>
      </w:pPr>
    </w:p>
    <w:p w:rsidR="00B12A4E" w:rsidRDefault="00B12A4E" w:rsidP="003E607E">
      <w:pPr>
        <w:spacing w:after="0" w:line="240" w:lineRule="auto"/>
        <w:rPr>
          <w:rFonts w:eastAsia="Times New Roman"/>
          <w:szCs w:val="24"/>
          <w:lang w:val="en-US"/>
        </w:rPr>
      </w:pPr>
      <w:r>
        <w:rPr>
          <w:rFonts w:eastAsia="Times New Roman"/>
          <w:szCs w:val="24"/>
          <w:lang w:val="en-US"/>
        </w:rPr>
        <w:t>Th</w:t>
      </w:r>
      <w:r w:rsidR="000B2A06">
        <w:rPr>
          <w:rFonts w:eastAsia="Times New Roman"/>
          <w:szCs w:val="24"/>
          <w:lang w:val="en-US"/>
        </w:rPr>
        <w:t xml:space="preserve">ank you for your consideration, </w:t>
      </w:r>
    </w:p>
    <w:p w:rsidR="000B2A06" w:rsidRDefault="000B2A06" w:rsidP="000B2A06">
      <w:pPr>
        <w:spacing w:after="0" w:line="240" w:lineRule="auto"/>
        <w:ind w:firstLine="720"/>
        <w:rPr>
          <w:rFonts w:eastAsia="Times New Roman"/>
          <w:szCs w:val="24"/>
          <w:lang w:val="en-US"/>
        </w:rPr>
      </w:pPr>
    </w:p>
    <w:p w:rsidR="000B2A06" w:rsidRDefault="000B2A06" w:rsidP="000B2A06">
      <w:pPr>
        <w:spacing w:after="0" w:line="240" w:lineRule="auto"/>
        <w:rPr>
          <w:rFonts w:eastAsia="Times New Roman"/>
          <w:szCs w:val="24"/>
          <w:lang w:val="en-US"/>
        </w:rPr>
      </w:pPr>
    </w:p>
    <w:p w:rsidR="000B2A06" w:rsidRDefault="000B2A06" w:rsidP="000B2A06">
      <w:pPr>
        <w:spacing w:after="0" w:line="240" w:lineRule="auto"/>
        <w:rPr>
          <w:rFonts w:eastAsia="Times New Roman"/>
          <w:szCs w:val="24"/>
          <w:lang w:val="en-US"/>
        </w:rPr>
      </w:pPr>
      <w:r>
        <w:rPr>
          <w:rFonts w:eastAsia="Times New Roman"/>
          <w:szCs w:val="24"/>
          <w:lang w:val="en-US"/>
        </w:rPr>
        <w:t>Rebecca Bassett</w:t>
      </w:r>
      <w:r w:rsidR="0031609E">
        <w:rPr>
          <w:rFonts w:eastAsia="Times New Roman"/>
          <w:szCs w:val="24"/>
          <w:lang w:val="en-US"/>
        </w:rPr>
        <w:t>-Gunter</w:t>
      </w:r>
      <w:r>
        <w:rPr>
          <w:rFonts w:eastAsia="Times New Roman"/>
          <w:szCs w:val="24"/>
          <w:lang w:val="en-US"/>
        </w:rPr>
        <w:t>, PhD</w:t>
      </w:r>
    </w:p>
    <w:p w:rsidR="0031609E" w:rsidRDefault="00425DED" w:rsidP="000B2A06">
      <w:pPr>
        <w:spacing w:after="0" w:line="240" w:lineRule="auto"/>
        <w:rPr>
          <w:rFonts w:eastAsia="Times New Roman"/>
          <w:szCs w:val="24"/>
          <w:lang w:val="en-US"/>
        </w:rPr>
      </w:pPr>
      <w:r>
        <w:rPr>
          <w:rFonts w:eastAsia="Times New Roman"/>
          <w:szCs w:val="24"/>
          <w:lang w:val="en-US"/>
        </w:rPr>
        <w:t>Assistant Professor</w:t>
      </w:r>
    </w:p>
    <w:p w:rsidR="0083129B" w:rsidRDefault="00425DED" w:rsidP="00425DED">
      <w:pPr>
        <w:spacing w:after="0" w:line="240" w:lineRule="auto"/>
        <w:rPr>
          <w:rFonts w:eastAsia="Times New Roman"/>
          <w:szCs w:val="24"/>
          <w:lang w:val="en-US"/>
        </w:rPr>
      </w:pPr>
      <w:r>
        <w:rPr>
          <w:rFonts w:eastAsia="Times New Roman"/>
          <w:szCs w:val="24"/>
          <w:lang w:val="en-US"/>
        </w:rPr>
        <w:t>School of Kinesiology and Health Science</w:t>
      </w:r>
    </w:p>
    <w:p w:rsidR="00425DED" w:rsidRDefault="00425DED" w:rsidP="00425DED">
      <w:pPr>
        <w:spacing w:after="0" w:line="240" w:lineRule="auto"/>
        <w:rPr>
          <w:rFonts w:eastAsia="Times New Roman"/>
          <w:szCs w:val="24"/>
          <w:lang w:val="en-US"/>
        </w:rPr>
      </w:pPr>
      <w:r>
        <w:rPr>
          <w:rFonts w:eastAsia="Times New Roman"/>
          <w:szCs w:val="24"/>
          <w:lang w:val="en-US"/>
        </w:rPr>
        <w:t>York University</w:t>
      </w:r>
    </w:p>
    <w:p w:rsidR="00425DED" w:rsidRPr="0083129B" w:rsidRDefault="00425DED" w:rsidP="00425DE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CA"/>
        </w:rPr>
      </w:pPr>
      <w:r>
        <w:rPr>
          <w:rFonts w:eastAsia="Times New Roman"/>
          <w:szCs w:val="24"/>
          <w:lang w:val="en-US"/>
        </w:rPr>
        <w:t>E: rgunter@yorku.ca</w:t>
      </w:r>
    </w:p>
    <w:p w:rsidR="007F6B16" w:rsidRDefault="00425DED">
      <w:r>
        <w:t>T</w:t>
      </w:r>
      <w:proofErr w:type="gramStart"/>
      <w:r>
        <w:t>:416</w:t>
      </w:r>
      <w:proofErr w:type="gramEnd"/>
      <w:r>
        <w:t xml:space="preserve">-736-2100 </w:t>
      </w:r>
      <w:proofErr w:type="spellStart"/>
      <w:r>
        <w:t>ext</w:t>
      </w:r>
      <w:proofErr w:type="spellEnd"/>
      <w:r>
        <w:t xml:space="preserve"> 22072</w:t>
      </w:r>
    </w:p>
    <w:p w:rsidR="003E607E" w:rsidRDefault="003E607E"/>
    <w:p w:rsidR="003E607E" w:rsidRDefault="003E607E"/>
    <w:p w:rsidR="003E607E" w:rsidRDefault="003E607E"/>
    <w:p w:rsidR="003E607E" w:rsidRDefault="003E607E"/>
    <w:p w:rsidR="003E607E" w:rsidRDefault="003E607E"/>
    <w:p w:rsidR="003E607E" w:rsidRDefault="003E607E"/>
    <w:p w:rsidR="003E607E" w:rsidRDefault="003E607E"/>
    <w:p w:rsidR="003E607E" w:rsidRDefault="003E607E"/>
    <w:p w:rsidR="003E607E" w:rsidRDefault="003E607E"/>
    <w:p w:rsidR="003E607E" w:rsidRDefault="003E607E"/>
    <w:p w:rsidR="003E607E" w:rsidRDefault="003E607E"/>
    <w:p w:rsidR="003E607E" w:rsidRDefault="003E607E"/>
    <w:p w:rsidR="003E607E" w:rsidRDefault="003E607E"/>
    <w:p w:rsidR="003E607E" w:rsidRDefault="003E607E"/>
    <w:p w:rsidR="003E607E" w:rsidRPr="003E607E" w:rsidRDefault="003E607E">
      <w:pPr>
        <w:rPr>
          <w:color w:val="FF0000"/>
        </w:rPr>
      </w:pPr>
      <w:r>
        <w:t xml:space="preserve">Reviewers’ comments in black ink; our responses in </w:t>
      </w:r>
      <w:r>
        <w:rPr>
          <w:color w:val="FF0000"/>
        </w:rPr>
        <w:t xml:space="preserve">RED. </w:t>
      </w:r>
      <w:bookmarkStart w:id="0" w:name="_GoBack"/>
      <w:bookmarkEnd w:id="0"/>
    </w:p>
    <w:p w:rsidR="003E607E" w:rsidRPr="003E607E" w:rsidRDefault="003E607E" w:rsidP="003E607E">
      <w:pPr>
        <w:rPr>
          <w:color w:val="000000"/>
          <w:szCs w:val="24"/>
          <w:lang w:val="en-US"/>
        </w:rPr>
      </w:pPr>
      <w:r w:rsidRPr="003E607E">
        <w:rPr>
          <w:color w:val="000000"/>
          <w:szCs w:val="24"/>
          <w:lang w:val="en-US"/>
        </w:rPr>
        <w:t>Introduction, bottom of page 2, to top of page 3: It is stated “Among</w:t>
      </w:r>
      <w:r w:rsidRPr="003E607E">
        <w:rPr>
          <w:color w:val="000000"/>
          <w:szCs w:val="24"/>
          <w:lang w:val="en-US"/>
        </w:rPr>
        <w:br/>
        <w:t xml:space="preserve">older youth, SSB has been associated with characteristics such as </w:t>
      </w:r>
      <w:proofErr w:type="gramStart"/>
      <w:r w:rsidRPr="003E607E">
        <w:rPr>
          <w:color w:val="000000"/>
          <w:szCs w:val="24"/>
          <w:lang w:val="en-US"/>
        </w:rPr>
        <w:t>sex</w:t>
      </w:r>
      <w:proofErr w:type="gramEnd"/>
      <w:r w:rsidRPr="003E607E">
        <w:rPr>
          <w:color w:val="000000"/>
          <w:szCs w:val="24"/>
          <w:lang w:val="en-US"/>
        </w:rPr>
        <w:br/>
        <w:t>(</w:t>
      </w:r>
      <w:proofErr w:type="spellStart"/>
      <w:r w:rsidRPr="003E607E">
        <w:rPr>
          <w:color w:val="000000"/>
          <w:szCs w:val="24"/>
          <w:lang w:val="en-US"/>
        </w:rPr>
        <w:t>Leatherdale</w:t>
      </w:r>
      <w:proofErr w:type="spellEnd"/>
      <w:r w:rsidRPr="003E607E">
        <w:rPr>
          <w:color w:val="000000"/>
          <w:szCs w:val="24"/>
          <w:lang w:val="en-US"/>
        </w:rPr>
        <w:t xml:space="preserve"> and Ahmed, 2011; He et al., 2009), age (Sisson et al., 2009),</w:t>
      </w:r>
      <w:r w:rsidRPr="003E607E">
        <w:rPr>
          <w:color w:val="000000"/>
          <w:szCs w:val="24"/>
          <w:lang w:val="en-US"/>
        </w:rPr>
        <w:br/>
        <w:t>PA level (He et al., 2009), and body mass index (BMI) (Epstein et al., 2000;</w:t>
      </w:r>
      <w:r w:rsidRPr="003E607E">
        <w:rPr>
          <w:color w:val="000000"/>
          <w:szCs w:val="24"/>
          <w:lang w:val="en-US"/>
        </w:rPr>
        <w:br/>
        <w:t>Utter et al., 2003).” Please indicate the direction of these differences</w:t>
      </w:r>
      <w:r w:rsidRPr="003E607E">
        <w:rPr>
          <w:color w:val="000000"/>
          <w:szCs w:val="24"/>
          <w:lang w:val="en-US"/>
        </w:rPr>
        <w:br/>
        <w:t>– i.e. state whether SSB is greater in males or females, greater in older</w:t>
      </w:r>
      <w:r w:rsidRPr="003E607E">
        <w:rPr>
          <w:color w:val="000000"/>
          <w:szCs w:val="24"/>
          <w:lang w:val="en-US"/>
        </w:rPr>
        <w:br/>
        <w:t>or younger kids, higher or lower PA levels, and greater in those with high</w:t>
      </w:r>
      <w:r w:rsidRPr="003E607E">
        <w:rPr>
          <w:color w:val="000000"/>
          <w:szCs w:val="24"/>
          <w:lang w:val="en-US"/>
        </w:rPr>
        <w:br/>
        <w:t>BMI.</w:t>
      </w:r>
      <w:r w:rsidRPr="003E607E">
        <w:rPr>
          <w:color w:val="000000"/>
          <w:szCs w:val="24"/>
          <w:lang w:val="en-US"/>
        </w:rPr>
        <w:br/>
      </w:r>
      <w:r w:rsidRPr="003E607E">
        <w:rPr>
          <w:color w:val="000000"/>
          <w:szCs w:val="24"/>
          <w:lang w:val="en-US"/>
        </w:rPr>
        <w:br/>
      </w:r>
      <w:r w:rsidRPr="003E607E">
        <w:rPr>
          <w:color w:val="FF0000"/>
          <w:szCs w:val="24"/>
          <w:lang w:val="en-US"/>
        </w:rPr>
        <w:t>We have added this information.</w:t>
      </w:r>
    </w:p>
    <w:p w:rsidR="003E607E" w:rsidRPr="003E607E" w:rsidRDefault="003E607E" w:rsidP="003E607E">
      <w:pPr>
        <w:rPr>
          <w:color w:val="000000"/>
          <w:szCs w:val="24"/>
          <w:lang w:val="en-US"/>
        </w:rPr>
      </w:pPr>
      <w:r w:rsidRPr="003E607E">
        <w:rPr>
          <w:color w:val="000000"/>
          <w:szCs w:val="24"/>
          <w:lang w:val="en-US"/>
        </w:rPr>
        <w:br/>
        <w:t>The authors should include a hypothesis statement at the end of the</w:t>
      </w:r>
      <w:r w:rsidRPr="003E607E">
        <w:rPr>
          <w:color w:val="000000"/>
          <w:szCs w:val="24"/>
          <w:lang w:val="en-US"/>
        </w:rPr>
        <w:br/>
        <w:t>introduction that is based on the past literature in this area.</w:t>
      </w:r>
    </w:p>
    <w:p w:rsidR="003E607E" w:rsidRPr="003E607E" w:rsidRDefault="003E607E" w:rsidP="003E607E">
      <w:pPr>
        <w:rPr>
          <w:color w:val="000000"/>
          <w:szCs w:val="24"/>
          <w:lang w:val="en-US"/>
        </w:rPr>
      </w:pPr>
      <w:r w:rsidRPr="003E607E">
        <w:rPr>
          <w:color w:val="FF0000"/>
          <w:szCs w:val="24"/>
          <w:lang w:val="en-US"/>
        </w:rPr>
        <w:t>We have added a hypothesis statement.</w:t>
      </w:r>
      <w:r w:rsidRPr="003E607E">
        <w:rPr>
          <w:color w:val="FF0000"/>
          <w:szCs w:val="24"/>
          <w:lang w:val="en-US"/>
        </w:rPr>
        <w:br/>
      </w:r>
      <w:r w:rsidRPr="003E607E">
        <w:rPr>
          <w:color w:val="000000"/>
          <w:szCs w:val="24"/>
          <w:lang w:val="en-US"/>
        </w:rPr>
        <w:br/>
      </w:r>
      <w:r w:rsidRPr="003E607E">
        <w:rPr>
          <w:color w:val="000000"/>
          <w:szCs w:val="24"/>
          <w:lang w:val="en-US"/>
        </w:rPr>
        <w:br/>
        <w:t>Regarding the sex differences: In the abstract, it is stated males were</w:t>
      </w:r>
      <w:r w:rsidRPr="003E607E">
        <w:rPr>
          <w:color w:val="000000"/>
          <w:szCs w:val="24"/>
          <w:lang w:val="en-US"/>
        </w:rPr>
        <w:br/>
        <w:t>more likely than females to have high SSB. It is stated in the results</w:t>
      </w:r>
      <w:r w:rsidRPr="003E607E">
        <w:rPr>
          <w:color w:val="000000"/>
          <w:szCs w:val="24"/>
          <w:lang w:val="en-US"/>
        </w:rPr>
        <w:br/>
        <w:t>section that males were also more likely than females to be very active.</w:t>
      </w:r>
      <w:r w:rsidRPr="003E607E">
        <w:rPr>
          <w:color w:val="000000"/>
          <w:szCs w:val="24"/>
          <w:lang w:val="en-US"/>
        </w:rPr>
        <w:br/>
        <w:t>This should be included in the abstract, as it might explain some of the sex</w:t>
      </w:r>
      <w:r w:rsidRPr="003E607E">
        <w:rPr>
          <w:color w:val="000000"/>
          <w:szCs w:val="24"/>
          <w:lang w:val="en-US"/>
        </w:rPr>
        <w:br/>
        <w:t>differences in SSB (i.e. males may compensate for their high PA level by</w:t>
      </w:r>
      <w:r w:rsidRPr="003E607E">
        <w:rPr>
          <w:color w:val="000000"/>
          <w:szCs w:val="24"/>
          <w:lang w:val="en-US"/>
        </w:rPr>
        <w:br/>
        <w:t>engaging in greater SSD).</w:t>
      </w:r>
      <w:r w:rsidRPr="003E607E">
        <w:rPr>
          <w:color w:val="000000"/>
          <w:szCs w:val="24"/>
          <w:lang w:val="en-US"/>
        </w:rPr>
        <w:br/>
      </w:r>
      <w:r w:rsidRPr="003E607E">
        <w:rPr>
          <w:color w:val="FF0000"/>
          <w:szCs w:val="24"/>
          <w:lang w:val="en-US"/>
        </w:rPr>
        <w:br/>
        <w:t>We have added a statement in the abstract.</w:t>
      </w:r>
      <w:r w:rsidRPr="003E607E">
        <w:rPr>
          <w:color w:val="FF0000"/>
          <w:szCs w:val="24"/>
          <w:lang w:val="en-US"/>
        </w:rPr>
        <w:br/>
      </w:r>
    </w:p>
    <w:p w:rsidR="003E607E" w:rsidRPr="003E607E" w:rsidRDefault="003E607E" w:rsidP="003E607E">
      <w:pPr>
        <w:rPr>
          <w:color w:val="000000"/>
          <w:szCs w:val="24"/>
          <w:lang w:val="en-US"/>
        </w:rPr>
      </w:pPr>
      <w:r w:rsidRPr="003E607E">
        <w:rPr>
          <w:color w:val="000000"/>
          <w:szCs w:val="24"/>
          <w:lang w:val="en-US"/>
        </w:rPr>
        <w:t>Table 1: You have determined percentages by dividing the number of students</w:t>
      </w:r>
      <w:r w:rsidRPr="003E607E">
        <w:rPr>
          <w:color w:val="000000"/>
          <w:szCs w:val="24"/>
          <w:lang w:val="en-US"/>
        </w:rPr>
        <w:br/>
        <w:t>in a specific category by the total low sedentary or total high sedentary</w:t>
      </w:r>
      <w:r w:rsidRPr="003E607E">
        <w:rPr>
          <w:color w:val="000000"/>
          <w:szCs w:val="24"/>
          <w:lang w:val="en-US"/>
        </w:rPr>
        <w:br/>
        <w:t>students (for example, males in the low sedentary category = 810/1,644 =</w:t>
      </w:r>
      <w:r w:rsidRPr="003E607E">
        <w:rPr>
          <w:color w:val="000000"/>
          <w:szCs w:val="24"/>
          <w:lang w:val="en-US"/>
        </w:rPr>
        <w:br/>
        <w:t>49.3%). I think it would be more informative to present the percentages by</w:t>
      </w:r>
      <w:r w:rsidRPr="003E607E">
        <w:rPr>
          <w:color w:val="000000"/>
          <w:szCs w:val="24"/>
          <w:lang w:val="en-US"/>
        </w:rPr>
        <w:br/>
        <w:t>calculating across specific student characteristics (for example, if you use</w:t>
      </w:r>
      <w:r w:rsidRPr="003E607E">
        <w:rPr>
          <w:color w:val="000000"/>
          <w:szCs w:val="24"/>
          <w:lang w:val="en-US"/>
        </w:rPr>
        <w:br/>
        <w:t>the numbers in brackets, 71% of males are low sedentary and 29% are high</w:t>
      </w:r>
      <w:r w:rsidRPr="003E607E">
        <w:rPr>
          <w:color w:val="000000"/>
          <w:szCs w:val="24"/>
          <w:lang w:val="en-US"/>
        </w:rPr>
        <w:br/>
        <w:t>sedentary).</w:t>
      </w:r>
    </w:p>
    <w:p w:rsidR="003E607E" w:rsidRPr="003E607E" w:rsidRDefault="003E607E" w:rsidP="003E607E">
      <w:pPr>
        <w:rPr>
          <w:szCs w:val="24"/>
          <w:lang w:val="en-US"/>
        </w:rPr>
      </w:pPr>
      <w:r w:rsidRPr="003E607E">
        <w:rPr>
          <w:color w:val="FF0000"/>
          <w:szCs w:val="24"/>
          <w:lang w:val="en-US"/>
        </w:rPr>
        <w:lastRenderedPageBreak/>
        <w:t xml:space="preserve">This is a great suggestion. Indeed the recalculated percentages are more reflective of the accurate student characteristics. We have revised Table 1 as per your suggestion. Thank you. </w:t>
      </w:r>
      <w:r w:rsidRPr="003E607E">
        <w:rPr>
          <w:color w:val="000000"/>
          <w:szCs w:val="24"/>
          <w:lang w:val="en-US"/>
        </w:rPr>
        <w:br/>
      </w:r>
      <w:r w:rsidRPr="003E607E">
        <w:rPr>
          <w:color w:val="000000"/>
          <w:szCs w:val="24"/>
          <w:lang w:val="en-US"/>
        </w:rPr>
        <w:br/>
      </w:r>
      <w:r w:rsidRPr="003E607E">
        <w:rPr>
          <w:color w:val="000000"/>
          <w:szCs w:val="24"/>
          <w:lang w:val="en-US"/>
        </w:rPr>
        <w:br/>
        <w:t>The majority of students were classified as “low sedentary” rather than</w:t>
      </w:r>
      <w:r w:rsidRPr="003E607E">
        <w:rPr>
          <w:color w:val="000000"/>
          <w:szCs w:val="24"/>
          <w:lang w:val="en-US"/>
        </w:rPr>
        <w:br/>
        <w:t>“high sedentary” when using a cut-off of 2 hours per day screen time.</w:t>
      </w:r>
      <w:r w:rsidRPr="003E607E">
        <w:rPr>
          <w:color w:val="000000"/>
          <w:szCs w:val="24"/>
          <w:lang w:val="en-US"/>
        </w:rPr>
        <w:br/>
        <w:t>This seems to contrast with the literature you cite in the introduction</w:t>
      </w:r>
      <w:r w:rsidRPr="003E607E">
        <w:rPr>
          <w:color w:val="000000"/>
          <w:szCs w:val="24"/>
          <w:lang w:val="en-US"/>
        </w:rPr>
        <w:br/>
        <w:t>where average screen time for Canadian children was indicated at over 7</w:t>
      </w:r>
      <w:r w:rsidRPr="003E607E">
        <w:rPr>
          <w:color w:val="000000"/>
          <w:szCs w:val="24"/>
          <w:lang w:val="en-US"/>
        </w:rPr>
        <w:br/>
        <w:t>hours per day. Is the difference because of the grade levels in the current</w:t>
      </w:r>
      <w:r w:rsidRPr="003E607E">
        <w:rPr>
          <w:color w:val="000000"/>
          <w:szCs w:val="24"/>
          <w:lang w:val="en-US"/>
        </w:rPr>
        <w:br/>
        <w:t>study, which are lower than other studies? Please comment on this specific</w:t>
      </w:r>
      <w:r w:rsidRPr="003E607E">
        <w:rPr>
          <w:color w:val="000000"/>
          <w:szCs w:val="24"/>
          <w:lang w:val="en-US"/>
        </w:rPr>
        <w:br/>
        <w:t>result in the discussion section.</w:t>
      </w:r>
      <w:r w:rsidRPr="003E607E">
        <w:rPr>
          <w:color w:val="000000"/>
          <w:szCs w:val="24"/>
          <w:lang w:val="en-US"/>
        </w:rPr>
        <w:br/>
      </w:r>
      <w:r w:rsidRPr="003E607E">
        <w:rPr>
          <w:color w:val="000000"/>
          <w:szCs w:val="24"/>
          <w:lang w:val="en-US"/>
        </w:rPr>
        <w:br/>
      </w:r>
      <w:r w:rsidRPr="003E607E">
        <w:rPr>
          <w:color w:val="FF0000"/>
          <w:szCs w:val="24"/>
          <w:lang w:val="en-US"/>
        </w:rPr>
        <w:t xml:space="preserve">Although the average sedentary behaviour among Canadian children is consistently reported at over 7 hours, the most recent Active Healthy Kids Canada report card suggests that 30% of Canadian children are exceeding the guidelines, which is consistent with the current study. We added comment to the introduction/literature review to highlight the recent findings regarding the percentage of students exceeding the guidelines.  </w:t>
      </w:r>
    </w:p>
    <w:p w:rsidR="003E607E" w:rsidRDefault="003E607E"/>
    <w:p w:rsidR="00425DED" w:rsidRDefault="00425DED"/>
    <w:sectPr w:rsidR="00425D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9B"/>
    <w:rsid w:val="000B2A06"/>
    <w:rsid w:val="0021607C"/>
    <w:rsid w:val="002C7102"/>
    <w:rsid w:val="0031609E"/>
    <w:rsid w:val="003E607E"/>
    <w:rsid w:val="00425DED"/>
    <w:rsid w:val="00440343"/>
    <w:rsid w:val="00483D7C"/>
    <w:rsid w:val="00554603"/>
    <w:rsid w:val="006261A4"/>
    <w:rsid w:val="007F6B16"/>
    <w:rsid w:val="00826C58"/>
    <w:rsid w:val="0083129B"/>
    <w:rsid w:val="00957EE7"/>
    <w:rsid w:val="009E6DA7"/>
    <w:rsid w:val="00A37F79"/>
    <w:rsid w:val="00B12A4E"/>
    <w:rsid w:val="00D551D5"/>
    <w:rsid w:val="00E74A17"/>
    <w:rsid w:val="00EE1108"/>
    <w:rsid w:val="00F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0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609E"/>
    <w:pPr>
      <w:spacing w:after="0" w:line="240" w:lineRule="auto"/>
    </w:pPr>
    <w:rPr>
      <w:rFonts w:eastAsia="Times New Roman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0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609E"/>
    <w:pPr>
      <w:spacing w:after="0" w:line="240" w:lineRule="auto"/>
    </w:pPr>
    <w:rPr>
      <w:rFonts w:eastAsia="Times New Roman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30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848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999999"/>
                    <w:bottom w:val="none" w:sz="0" w:space="0" w:color="auto"/>
                    <w:right w:val="single" w:sz="6" w:space="12" w:color="999999"/>
                  </w:divBdr>
                  <w:divsChild>
                    <w:div w:id="19209399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999999"/>
                        <w:left w:val="single" w:sz="6" w:space="1" w:color="999999"/>
                        <w:bottom w:val="single" w:sz="6" w:space="1" w:color="999999"/>
                        <w:right w:val="single" w:sz="6" w:space="1" w:color="999999"/>
                      </w:divBdr>
                      <w:divsChild>
                        <w:div w:id="106194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5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1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480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999999"/>
                    <w:bottom w:val="none" w:sz="0" w:space="0" w:color="auto"/>
                    <w:right w:val="single" w:sz="6" w:space="12" w:color="999999"/>
                  </w:divBdr>
                  <w:divsChild>
                    <w:div w:id="3484164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999999"/>
                        <w:left w:val="single" w:sz="6" w:space="1" w:color="999999"/>
                        <w:bottom w:val="single" w:sz="6" w:space="1" w:color="999999"/>
                        <w:right w:val="single" w:sz="6" w:space="1" w:color="999999"/>
                      </w:divBdr>
                      <w:divsChild>
                        <w:div w:id="15456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Rebecca Bassett-Gunter</cp:lastModifiedBy>
  <cp:revision>2</cp:revision>
  <dcterms:created xsi:type="dcterms:W3CDTF">2014-06-03T13:55:00Z</dcterms:created>
  <dcterms:modified xsi:type="dcterms:W3CDTF">2014-06-03T13:55:00Z</dcterms:modified>
</cp:coreProperties>
</file>